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after="240" w:before="240" w:lineRule="auto"/>
        <w:rPr>
          <w:b w:val="1"/>
          <w:smallCaps w:val="1"/>
        </w:rPr>
      </w:pPr>
      <w:r w:rsidDel="00000000" w:rsidR="00000000" w:rsidRPr="00000000">
        <w:rPr>
          <w:rtl w:val="0"/>
        </w:rPr>
      </w:r>
    </w:p>
    <w:p w:rsidR="00000000" w:rsidDel="00000000" w:rsidP="00000000" w:rsidRDefault="00000000" w:rsidRPr="00000000" w14:paraId="00000002">
      <w:pPr>
        <w:widowControl w:val="1"/>
        <w:spacing w:after="240" w:before="240" w:lineRule="auto"/>
        <w:jc w:val="center"/>
        <w:rPr>
          <w:b w:val="1"/>
          <w:smallCaps w:val="1"/>
          <w:color w:val="000000"/>
          <w:highlight w:val="white"/>
          <w:u w:val="none"/>
        </w:rPr>
      </w:pPr>
      <w:bookmarkStart w:colFirst="0" w:colLast="0" w:name="_heading=h.gjdgxs" w:id="0"/>
      <w:bookmarkEnd w:id="0"/>
      <w:r w:rsidDel="00000000" w:rsidR="00000000" w:rsidRPr="00000000">
        <w:rPr>
          <w:rtl w:val="0"/>
        </w:rPr>
      </w:r>
    </w:p>
    <w:p w:rsidR="00000000" w:rsidDel="00000000" w:rsidP="00000000" w:rsidRDefault="00000000" w:rsidRPr="00000000" w14:paraId="00000003">
      <w:pPr>
        <w:widowControl w:val="1"/>
        <w:spacing w:after="240" w:before="240" w:lineRule="auto"/>
        <w:jc w:val="center"/>
        <w:rPr>
          <w:b w:val="1"/>
          <w:smallCaps w:val="1"/>
          <w:color w:val="000000"/>
          <w:highlight w:val="white"/>
          <w:u w:val="none"/>
        </w:rPr>
      </w:pPr>
      <w:r w:rsidDel="00000000" w:rsidR="00000000" w:rsidRPr="00000000">
        <w:rPr>
          <w:rtl w:val="0"/>
        </w:rPr>
      </w:r>
    </w:p>
    <w:p w:rsidR="00000000" w:rsidDel="00000000" w:rsidP="00000000" w:rsidRDefault="00000000" w:rsidRPr="00000000" w14:paraId="00000004">
      <w:pPr>
        <w:widowControl w:val="1"/>
        <w:spacing w:after="240" w:before="240" w:lineRule="auto"/>
        <w:jc w:val="center"/>
        <w:rPr>
          <w:b w:val="1"/>
          <w:smallCaps w:val="1"/>
          <w:color w:val="000000"/>
          <w:highlight w:val="white"/>
          <w:u w:val="none"/>
        </w:rPr>
      </w:pPr>
      <w:r w:rsidDel="00000000" w:rsidR="00000000" w:rsidRPr="00000000">
        <w:rPr>
          <w:rtl w:val="0"/>
        </w:rPr>
      </w:r>
    </w:p>
    <w:p w:rsidR="00000000" w:rsidDel="00000000" w:rsidP="00000000" w:rsidRDefault="00000000" w:rsidRPr="00000000" w14:paraId="00000005">
      <w:pPr>
        <w:widowControl w:val="1"/>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6">
      <w:pPr>
        <w:widowControl w:val="1"/>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7">
      <w:pPr>
        <w:widowControl w:val="1"/>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8">
      <w:pPr>
        <w:widowControl w:val="1"/>
        <w:spacing w:after="240" w:before="240" w:lineRule="auto"/>
        <w:jc w:val="center"/>
        <w:rPr>
          <w:b w:val="1"/>
          <w:smallCaps w:val="1"/>
        </w:rPr>
      </w:pPr>
      <w:r w:rsidDel="00000000" w:rsidR="00000000" w:rsidRPr="00000000">
        <w:rPr>
          <w:b w:val="1"/>
          <w:smallCaps w:val="1"/>
          <w:rtl w:val="0"/>
        </w:rPr>
        <w:t xml:space="preserve">ISS FACILITY SERVICES LIMITED </w:t>
      </w:r>
    </w:p>
    <w:p w:rsidR="00000000" w:rsidDel="00000000" w:rsidP="00000000" w:rsidRDefault="00000000" w:rsidRPr="00000000" w14:paraId="00000009">
      <w:pPr>
        <w:widowControl w:val="1"/>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A">
      <w:pPr>
        <w:widowControl w:val="1"/>
        <w:spacing w:after="240" w:before="240" w:line="240" w:lineRule="auto"/>
        <w:ind w:left="-2" w:hanging="2"/>
        <w:jc w:val="center"/>
        <w:rPr>
          <w:rFonts w:ascii="Times New Roman" w:cs="Times New Roman" w:eastAsia="Times New Roman" w:hAnsi="Times New Roman"/>
          <w:sz w:val="24"/>
          <w:szCs w:val="24"/>
        </w:rPr>
      </w:pPr>
      <w:bookmarkStart w:colFirst="0" w:colLast="0" w:name="_heading=h.3znysh7" w:id="1"/>
      <w:bookmarkEnd w:id="1"/>
      <w:r w:rsidDel="00000000" w:rsidR="00000000" w:rsidRPr="00000000">
        <w:rPr>
          <w:b w:val="1"/>
          <w:smallCaps w:val="1"/>
          <w:rtl w:val="0"/>
        </w:rPr>
        <w:t xml:space="preserve">FACILITIES MANAGEMENT MARKETPLACE CONTRACT</w:t>
      </w:r>
      <w:r w:rsidDel="00000000" w:rsidR="00000000" w:rsidRPr="00000000">
        <w:rPr>
          <w:rtl w:val="0"/>
        </w:rPr>
      </w:r>
    </w:p>
    <w:p w:rsidR="00000000" w:rsidDel="00000000" w:rsidP="00000000" w:rsidRDefault="00000000" w:rsidRPr="00000000" w14:paraId="0000000B">
      <w:pPr>
        <w:widowControl w:val="1"/>
        <w:spacing w:after="240" w:before="240" w:line="240" w:lineRule="auto"/>
        <w:ind w:left="-2" w:hanging="2"/>
        <w:jc w:val="center"/>
        <w:rPr>
          <w:rFonts w:ascii="Times New Roman" w:cs="Times New Roman" w:eastAsia="Times New Roman" w:hAnsi="Times New Roman"/>
          <w:sz w:val="24"/>
          <w:szCs w:val="24"/>
        </w:rPr>
      </w:pPr>
      <w:bookmarkStart w:colFirst="0" w:colLast="0" w:name="_heading=h.2et92p0" w:id="2"/>
      <w:bookmarkEnd w:id="2"/>
      <w:r w:rsidDel="00000000" w:rsidR="00000000" w:rsidRPr="00000000">
        <w:rPr>
          <w:b w:val="1"/>
          <w:smallCaps w:val="1"/>
          <w:rtl w:val="0"/>
        </w:rPr>
        <w:t xml:space="preserve">REF: RM3830</w:t>
      </w:r>
      <w:r w:rsidDel="00000000" w:rsidR="00000000" w:rsidRPr="00000000">
        <w:rPr>
          <w:rtl w:val="0"/>
        </w:rPr>
      </w:r>
    </w:p>
    <w:p w:rsidR="00000000" w:rsidDel="00000000" w:rsidP="00000000" w:rsidRDefault="00000000" w:rsidRPr="00000000" w14:paraId="0000000C">
      <w:pPr>
        <w:widowControl w:val="1"/>
        <w:tabs>
          <w:tab w:val="center" w:leader="none" w:pos="4513"/>
          <w:tab w:val="left" w:leader="none" w:pos="5724"/>
        </w:tabs>
        <w:spacing w:after="240" w:before="240" w:lineRule="auto"/>
        <w:rPr>
          <w:b w:val="1"/>
          <w:smallCaps w:val="1"/>
        </w:rPr>
      </w:pPr>
      <w:r w:rsidDel="00000000" w:rsidR="00000000" w:rsidRPr="00000000">
        <w:rPr>
          <w:rtl w:val="0"/>
        </w:rPr>
      </w:r>
    </w:p>
    <w:p w:rsidR="00000000" w:rsidDel="00000000" w:rsidP="00000000" w:rsidRDefault="00000000" w:rsidRPr="00000000" w14:paraId="0000000D">
      <w:pPr>
        <w:widowControl w:val="1"/>
        <w:tabs>
          <w:tab w:val="center" w:leader="none" w:pos="4513"/>
          <w:tab w:val="left" w:leader="none" w:pos="5724"/>
        </w:tabs>
        <w:spacing w:after="240" w:before="240" w:lineRule="auto"/>
        <w:rPr>
          <w:b w:val="1"/>
          <w:smallCaps w:val="1"/>
        </w:rPr>
      </w:pPr>
      <w:r w:rsidDel="00000000" w:rsidR="00000000" w:rsidRPr="00000000">
        <w:rPr>
          <w:rtl w:val="0"/>
        </w:rPr>
      </w:r>
    </w:p>
    <w:p w:rsidR="00000000" w:rsidDel="00000000" w:rsidP="00000000" w:rsidRDefault="00000000" w:rsidRPr="00000000" w14:paraId="0000000E">
      <w:pPr>
        <w:widowControl w:val="1"/>
        <w:tabs>
          <w:tab w:val="center" w:leader="none" w:pos="4513"/>
          <w:tab w:val="left" w:leader="none" w:pos="5724"/>
        </w:tabs>
        <w:spacing w:after="240" w:before="240" w:lineRule="auto"/>
        <w:rPr>
          <w:b w:val="1"/>
          <w:smallCaps w:val="1"/>
        </w:rPr>
      </w:pPr>
      <w:r w:rsidDel="00000000" w:rsidR="00000000" w:rsidRPr="00000000">
        <w:rPr>
          <w:b w:val="1"/>
          <w:smallCaps w:val="1"/>
          <w:rtl w:val="0"/>
        </w:rPr>
        <w:tab/>
      </w:r>
    </w:p>
    <w:p w:rsidR="00000000" w:rsidDel="00000000" w:rsidP="00000000" w:rsidRDefault="00000000" w:rsidRPr="00000000" w14:paraId="0000000F">
      <w:pPr>
        <w:widowControl w:val="1"/>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10">
      <w:pPr>
        <w:widowControl w:val="1"/>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11">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2">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3">
      <w:pPr>
        <w:widowControl w:val="1"/>
        <w:spacing w:after="240" w:line="240" w:lineRule="auto"/>
        <w:jc w:val="both"/>
        <w:rPr>
          <w:sz w:val="20"/>
          <w:szCs w:val="20"/>
        </w:rPr>
      </w:pPr>
      <w:r w:rsidDel="00000000" w:rsidR="00000000" w:rsidRPr="00000000">
        <w:rPr>
          <w:rtl w:val="0"/>
        </w:rPr>
      </w:r>
    </w:p>
    <w:p w:rsidR="00000000" w:rsidDel="00000000" w:rsidP="00000000" w:rsidRDefault="00000000" w:rsidRPr="00000000" w14:paraId="00000014">
      <w:pPr>
        <w:widowControl w:val="1"/>
        <w:rPr>
          <w:rFonts w:ascii="Arial" w:cs="Arial" w:eastAsia="Arial" w:hAnsi="Arial"/>
          <w:b w:val="1"/>
          <w:smallCaps w:val="1"/>
          <w:sz w:val="20"/>
          <w:szCs w:val="20"/>
        </w:rPr>
      </w:pPr>
      <w:bookmarkStart w:colFirst="0" w:colLast="0" w:name="_heading=h.tyjcwt" w:id="3"/>
      <w:bookmarkEnd w:id="3"/>
      <w:r w:rsidDel="00000000" w:rsidR="00000000" w:rsidRPr="00000000">
        <w:br w:type="page"/>
      </w:r>
      <w:r w:rsidDel="00000000" w:rsidR="00000000" w:rsidRPr="00000000">
        <w:rPr>
          <w:rtl w:val="0"/>
        </w:rPr>
      </w:r>
    </w:p>
    <w:p w:rsidR="00000000" w:rsidDel="00000000" w:rsidP="00000000" w:rsidRDefault="00000000" w:rsidRPr="00000000" w14:paraId="00000015">
      <w:pPr>
        <w:widowControl w:val="1"/>
        <w:tabs>
          <w:tab w:val="center" w:leader="none" w:pos="4513"/>
          <w:tab w:val="right" w:leader="none" w:pos="9016"/>
        </w:tabs>
        <w:spacing w:after="0" w:line="240" w:lineRule="auto"/>
        <w:jc w:val="center"/>
        <w:rPr>
          <w:b w:val="1"/>
          <w:smallCaps w:val="1"/>
        </w:rPr>
      </w:pPr>
      <w:bookmarkStart w:colFirst="0" w:colLast="0" w:name="_heading=h.3dy6vkm" w:id="4"/>
      <w:bookmarkEnd w:id="4"/>
      <w:r w:rsidDel="00000000" w:rsidR="00000000" w:rsidRPr="00000000">
        <w:rPr>
          <w:b w:val="1"/>
          <w:smallCaps w:val="1"/>
          <w:rtl w:val="0"/>
        </w:rPr>
        <w:t xml:space="preserve">JOINT SCHEDULE 11</w:t>
      </w:r>
    </w:p>
    <w:p w:rsidR="00000000" w:rsidDel="00000000" w:rsidP="00000000" w:rsidRDefault="00000000" w:rsidRPr="00000000" w14:paraId="00000016">
      <w:pPr>
        <w:widowControl w:val="1"/>
        <w:tabs>
          <w:tab w:val="center" w:leader="none" w:pos="4513"/>
          <w:tab w:val="right" w:leader="none" w:pos="9016"/>
        </w:tabs>
        <w:spacing w:after="0" w:line="240" w:lineRule="auto"/>
        <w:jc w:val="center"/>
        <w:rPr>
          <w:b w:val="1"/>
          <w:smallCaps w:val="1"/>
        </w:rPr>
      </w:pPr>
      <w:r w:rsidDel="00000000" w:rsidR="00000000" w:rsidRPr="00000000">
        <w:rPr>
          <w:rtl w:val="0"/>
        </w:rPr>
      </w:r>
    </w:p>
    <w:p w:rsidR="00000000" w:rsidDel="00000000" w:rsidP="00000000" w:rsidRDefault="00000000" w:rsidRPr="00000000" w14:paraId="00000017">
      <w:pPr>
        <w:widowControl w:val="1"/>
        <w:tabs>
          <w:tab w:val="center" w:leader="none" w:pos="4513"/>
          <w:tab w:val="right" w:leader="none" w:pos="9016"/>
        </w:tabs>
        <w:spacing w:after="0" w:line="240" w:lineRule="auto"/>
        <w:jc w:val="center"/>
        <w:rPr>
          <w:rFonts w:ascii="Arial" w:cs="Arial" w:eastAsia="Arial" w:hAnsi="Arial"/>
          <w:b w:val="1"/>
          <w:smallCaps w:val="1"/>
          <w:sz w:val="20"/>
          <w:szCs w:val="20"/>
        </w:rPr>
      </w:pPr>
      <w:bookmarkStart w:colFirst="0" w:colLast="0" w:name="_heading=h.1t3h5sf" w:id="5"/>
      <w:bookmarkEnd w:id="5"/>
      <w:r w:rsidDel="00000000" w:rsidR="00000000" w:rsidRPr="00000000">
        <w:rPr>
          <w:b w:val="1"/>
          <w:smallCaps w:val="1"/>
          <w:rtl w:val="0"/>
        </w:rPr>
        <w:t xml:space="preserve">PROCESSING DATA</w:t>
      </w:r>
      <w:r w:rsidDel="00000000" w:rsidR="00000000" w:rsidRPr="00000000">
        <w:rPr>
          <w:rtl w:val="0"/>
        </w:rPr>
      </w:r>
    </w:p>
    <w:p w:rsidR="00000000" w:rsidDel="00000000" w:rsidP="00000000" w:rsidRDefault="00000000" w:rsidRPr="00000000" w14:paraId="00000018">
      <w:pPr>
        <w:widowControl w:val="1"/>
        <w:tabs>
          <w:tab w:val="center" w:leader="none" w:pos="4513"/>
          <w:tab w:val="right" w:leader="none" w:pos="9016"/>
        </w:tabs>
        <w:spacing w:after="0" w:line="240" w:lineRule="auto"/>
        <w:jc w:val="center"/>
        <w:rPr>
          <w:rFonts w:ascii="Arial" w:cs="Arial" w:eastAsia="Arial" w:hAnsi="Arial"/>
          <w:b w:val="1"/>
          <w:smallCaps w:val="1"/>
          <w:sz w:val="20"/>
          <w:szCs w:val="20"/>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d34og8" w:id="6"/>
      <w:bookmarkEnd w:id="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 Only the Relevant Authority can decide what processing of Personal Data a Supplier can do under a Contract and must specify it for each Contract using the template in Annex 1 (Authorised Processing) to this Schedule.</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s8eyo1" w:id="7"/>
      <w:bookmarkEnd w:id="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 The Supplier must only process Personal Data if authorised to do so in Annex 1 (Authorised Processing) by the Relevant Authority. Any further written instructions relating to the processing of Personal Data are incorporated into Annex 1 to this Schedule.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7dp8vu" w:id="8"/>
      <w:bookmarkEnd w:id="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 The Supplier must give all reasonable assistance to the Relevant Authority in the preparation of any Data Protection Impact Assessment before starting any processing, including:</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rdcrjn" w:id="9"/>
      <w:bookmarkEnd w:id="9"/>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systematic description of the expected processing and its purpose</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5nkun2" w:id="10"/>
      <w:bookmarkEnd w:id="10"/>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necessity and proportionality of the processing operations</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jxsxqh" w:id="11"/>
      <w:bookmarkEnd w:id="11"/>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risks to the rights and freedoms of Data Subjects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28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y810tw" w:id="12"/>
      <w:bookmarkEnd w:id="12"/>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intended measures to address the risks, including safeguards, security measures and mechanisms to protect Personal Data</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ci93xb" w:id="13"/>
      <w:bookmarkEnd w:id="1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 The Supplier must notify the Relevant Authority immediately if it thinks the Relevant Authority's instructions breach the Data Protection Legislation.</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whwml4" w:id="14"/>
      <w:bookmarkEnd w:id="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 The Supplier must put in place appropriate Protective Measures to protect against a Data Loss Event which must be approved by the Relevant Authority.</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bn6wsx" w:id="15"/>
      <w:bookmarkEnd w:id="1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 If lawful to notify the Relevant Authority, the Supplier must notify it if the Supplier is required to process Personal Data by Law promptly and before processing it.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qsh70q" w:id="16"/>
      <w:bookmarkEnd w:id="1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 The Supplier must comply with the provision of Call-Off Schedule 11: Processing Data and Call-Off Schedule 26: Special terms – Term 23 and mus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take all reasonable steps to ensure the reliability and integrity of any Supplier Staff who have access to the Personal Data and ensure that they:</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20"/>
        </w:tabs>
        <w:spacing w:after="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as4poj" w:id="17"/>
      <w:bookmarkEnd w:id="1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aware of and comply with the Supplier’s duties under this Schedule</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pxezwc" w:id="18"/>
      <w:bookmarkEnd w:id="1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subject to appropriate confidentiality undertakings with the Supplier or any Sub processor</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9x2ik5" w:id="19"/>
      <w:bookmarkEnd w:id="1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are informed of the confidential nature of the Personal Data and do not provide any of the Personal Data to any third Party unless directed in writing to do so by the Relevant Authority or as otherwise allowed by a Contract</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20"/>
        </w:tabs>
        <w:spacing w:after="28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p2csry" w:id="20"/>
      <w:bookmarkEnd w:id="2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 undergone adequate training in the use, care, protection and handling of Personal Data</w:t>
      </w:r>
    </w:p>
    <w:p w:rsidR="00000000" w:rsidDel="00000000" w:rsidP="00000000" w:rsidRDefault="00000000" w:rsidRPr="00000000" w14:paraId="00000029">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widowControl w:val="1"/>
        <w:spacing w:after="0" w:before="12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47n2zr" w:id="21"/>
      <w:bookmarkEnd w:id="2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8. The Supplier must not transfer Personal Data outside of the EU unless all of the following are true:</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o7alnk" w:id="22"/>
      <w:bookmarkEnd w:id="2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has obtained prior written consent of the Relevant Authority</w:t>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3ckvvd" w:id="23"/>
      <w:bookmarkEnd w:id="2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Relevant Authority has decided that there are Appropriate Safeguards</w:t>
      </w:r>
    </w:p>
    <w:p w:rsidR="00000000" w:rsidDel="00000000" w:rsidP="00000000" w:rsidRDefault="00000000" w:rsidRPr="00000000" w14:paraId="000000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ihv636" w:id="24"/>
      <w:bookmarkEnd w:id="2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Data Subject has enforceable rights and effective legal remedies when transferred</w:t>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2hioqz" w:id="25"/>
      <w:bookmarkEnd w:id="2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meets its obligations under the Data Protection Legislation by providing an adequate level of protection to any Personal Data that is transferred</w:t>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hmsyys" w:id="26"/>
      <w:bookmarkEnd w:id="2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is not bound by Data Protection Legislation it must use its best endeavours to help the Relevant Authority meet its own obligations under Data Protection Legislation</w:t>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28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1mghml" w:id="27"/>
      <w:bookmarkEnd w:id="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complies with the Relevant Authority’s reasonable prior instructions about the processing of the Personal Data.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35"/>
          <w:tab w:val="left" w:leader="none" w:pos="5292"/>
        </w:tabs>
        <w:spacing w:after="20" w:before="20" w:line="240" w:lineRule="auto"/>
        <w:ind w:left="157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grqrue" w:id="28"/>
      <w:bookmarkEnd w:id="2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9. </w:t>
        <w:tab/>
        <w:t xml:space="preserve">The Supplier must notify the Relevant Authority immediately if it:</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vx1227" w:id="29"/>
      <w:bookmarkEnd w:id="2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receives a Data Subject Access Request (or purported Data Subject Access Request)</w:t>
      </w:r>
    </w:p>
    <w:p w:rsidR="00000000" w:rsidDel="00000000" w:rsidP="00000000" w:rsidRDefault="00000000" w:rsidRPr="00000000" w14:paraId="000000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fwokq0" w:id="30"/>
      <w:bookmarkEnd w:id="3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receives a request to rectify, block or erase any Personal Data</w:t>
      </w:r>
    </w:p>
    <w:p w:rsidR="00000000" w:rsidDel="00000000" w:rsidP="00000000" w:rsidRDefault="00000000" w:rsidRPr="00000000" w14:paraId="000000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v1yuxt"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receives any other request, complaint or communication relating to either Party's obligations under the Data Protection Legislation</w:t>
      </w:r>
    </w:p>
    <w:p w:rsidR="00000000" w:rsidDel="00000000" w:rsidP="00000000" w:rsidRDefault="00000000" w:rsidRPr="00000000" w14:paraId="000000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f1mdlm" w:id="32"/>
      <w:bookmarkEnd w:id="3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receives any communication from the Information Commissioner or any other regulatory authority in connection with Personal Data processed under this Contract</w:t>
      </w:r>
    </w:p>
    <w:p w:rsidR="00000000" w:rsidDel="00000000" w:rsidP="00000000" w:rsidRDefault="00000000" w:rsidRPr="00000000" w14:paraId="000000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u6wntf" w:id="33"/>
      <w:bookmarkEnd w:id="3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receives a request from any third Party for disclosure of Personal Data where compliance with the request is required or claims to be required by Law</w:t>
      </w:r>
    </w:p>
    <w:p w:rsidR="00000000" w:rsidDel="00000000" w:rsidP="00000000" w:rsidRDefault="00000000" w:rsidRPr="00000000" w14:paraId="000000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720"/>
        </w:tabs>
        <w:spacing w:after="28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9c6y18" w:id="34"/>
      <w:bookmarkEnd w:id="3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becomes aware of a Data Loss Event</w:t>
      </w:r>
    </w:p>
    <w:p w:rsidR="00000000" w:rsidDel="00000000" w:rsidP="00000000" w:rsidRDefault="00000000" w:rsidRPr="00000000" w14:paraId="0000003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tbugp1" w:id="35"/>
      <w:bookmarkEnd w:id="3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10. Any requirement to notify under Paragraph 9 includes the provision of further information to the Relevant Authority in stages as details become available.</w:t>
      </w:r>
    </w:p>
    <w:p w:rsidR="00000000" w:rsidDel="00000000" w:rsidP="00000000" w:rsidRDefault="00000000" w:rsidRPr="00000000" w14:paraId="0000003E">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8h4qwu" w:id="36"/>
      <w:bookmarkEnd w:id="3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11. The Supplier must promptly provide the Relevant Authority with full assistance in relation to any Party's obligations under Data Protection Legislation and any complaint, communication or request made under Paragraph 9. This includes giving the Relevant Authority:</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720"/>
        </w:tabs>
        <w:spacing w:after="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nmf14n" w:id="37"/>
      <w:bookmarkEnd w:id="3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full details and copies of the complaint, communication or request</w:t>
      </w:r>
    </w:p>
    <w:p w:rsidR="00000000" w:rsidDel="00000000" w:rsidP="00000000" w:rsidRDefault="00000000" w:rsidRPr="00000000" w14:paraId="0000004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7m2jsg" w:id="38"/>
      <w:bookmarkEnd w:id="3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reasonably requested assistance so that it can comply with a Data Subject Access Request within the relevant timescales in the Data Protection Legislation </w:t>
      </w:r>
    </w:p>
    <w:p w:rsidR="00000000" w:rsidDel="00000000" w:rsidP="00000000" w:rsidRDefault="00000000" w:rsidRPr="00000000" w14:paraId="0000004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mrcu09"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Personal Data it holds in relation to a Data Subject on request </w:t>
      </w:r>
    </w:p>
    <w:p w:rsidR="00000000" w:rsidDel="00000000" w:rsidP="00000000" w:rsidRDefault="00000000" w:rsidRPr="00000000" w14:paraId="0000004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6r0co2" w:id="40"/>
      <w:bookmarkEnd w:id="4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assistance that it requests following any Data Loss Event</w:t>
      </w:r>
    </w:p>
    <w:p w:rsidR="00000000" w:rsidDel="00000000" w:rsidP="00000000" w:rsidRDefault="00000000" w:rsidRPr="00000000" w14:paraId="0000004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720"/>
        </w:tabs>
        <w:spacing w:after="28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lwamvv" w:id="41"/>
      <w:bookmarkEnd w:id="4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assistance that it requests relating to a consultation with, or request from, the Information Commissioner’s Office </w:t>
      </w:r>
    </w:p>
    <w:p w:rsidR="00000000" w:rsidDel="00000000" w:rsidP="00000000" w:rsidRDefault="00000000" w:rsidRPr="00000000" w14:paraId="00000046">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11kx3o" w:id="42"/>
      <w:bookmarkEnd w:id="4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12. The Supplier must maintain full, accurate records and information to show it complies with this Schedule. This requirement does not apply where the Supplier employs fewer than 250 staff, unless either the Relevant Authority determines that the processing:</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720"/>
        </w:tabs>
        <w:spacing w:after="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l18frh" w:id="43"/>
      <w:bookmarkEnd w:id="4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not occasional</w:t>
      </w:r>
    </w:p>
    <w:p w:rsidR="00000000" w:rsidDel="00000000" w:rsidP="00000000" w:rsidRDefault="00000000" w:rsidRPr="00000000" w14:paraId="000000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06ipza" w:id="44"/>
      <w:bookmarkEnd w:id="4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includes special categories of data as referred to in Article 9(1) of the GDPR or Personal Data relating to criminal convictions and offences referred to in Article 10 of the GDPR</w:t>
      </w:r>
    </w:p>
    <w:p w:rsidR="00000000" w:rsidDel="00000000" w:rsidP="00000000" w:rsidRDefault="00000000" w:rsidRPr="00000000" w14:paraId="0000004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720"/>
        </w:tabs>
        <w:spacing w:after="28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k668n3" w:id="45"/>
      <w:bookmarkEnd w:id="4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likely to result in a risk to the rights and freedoms of Data Subjects</w:t>
      </w:r>
    </w:p>
    <w:p w:rsidR="00000000" w:rsidDel="00000000" w:rsidP="00000000" w:rsidRDefault="00000000" w:rsidRPr="00000000" w14:paraId="0000004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zbgiuw" w:id="46"/>
      <w:bookmarkEnd w:id="4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13. The Supplier must appoint a Data Protection Officer responsible for observing its obligations in this Schedule and give CCS and each Buyer their contact details.</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egqt2p" w:id="47"/>
      <w:bookmarkEnd w:id="4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14. Before allowing any Sub processor to process any Personal Data, the Supplier must:</w:t>
      </w:r>
    </w:p>
    <w:p w:rsidR="00000000" w:rsidDel="00000000" w:rsidP="00000000" w:rsidRDefault="00000000" w:rsidRPr="00000000" w14:paraId="0000004F">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20"/>
        </w:tabs>
        <w:spacing w:after="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ygebqi" w:id="48"/>
      <w:bookmarkEnd w:id="4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notify the Relevant Authority in writing of the intended Sub processor and processing</w:t>
      </w:r>
    </w:p>
    <w:p w:rsidR="00000000" w:rsidDel="00000000" w:rsidP="00000000" w:rsidRDefault="00000000" w:rsidRPr="00000000" w14:paraId="0000005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dlolyb" w:id="49"/>
      <w:bookmarkEnd w:id="4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obtain the written consent of the Relevant Authority</w:t>
      </w:r>
    </w:p>
    <w:p w:rsidR="00000000" w:rsidDel="00000000" w:rsidP="00000000" w:rsidRDefault="00000000" w:rsidRPr="00000000" w14:paraId="0000005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sqyw64" w:id="50"/>
      <w:bookmarkEnd w:id="5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enter into a written contract with the Sub processor so that this Schedule applies to the Sub processor</w:t>
      </w:r>
    </w:p>
    <w:p w:rsidR="00000000" w:rsidDel="00000000" w:rsidP="00000000" w:rsidRDefault="00000000" w:rsidRPr="00000000" w14:paraId="0000005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720"/>
        </w:tabs>
        <w:spacing w:after="28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cqmetx" w:id="51"/>
      <w:bookmarkEnd w:id="5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Relevant Authority with any information about the Sub processor that the Relevant Authority reasonably requires</w:t>
      </w:r>
    </w:p>
    <w:p w:rsidR="00000000" w:rsidDel="00000000" w:rsidP="00000000" w:rsidRDefault="00000000" w:rsidRPr="00000000" w14:paraId="00000054">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rvwp1q" w:id="52"/>
      <w:bookmarkEnd w:id="5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 The Supplier remains fully liable for all acts or omissions of any Sub processor.</w:t>
      </w:r>
    </w:p>
    <w:p w:rsidR="00000000" w:rsidDel="00000000" w:rsidP="00000000" w:rsidRDefault="00000000" w:rsidRPr="00000000" w14:paraId="00000056">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4bvk7pj" w:id="53"/>
      <w:bookmarkEnd w:id="5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16. At any time the Relevant Authority can, with 30 Working Days notice to the Supplier, change this Schedule to:</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720"/>
        </w:tabs>
        <w:spacing w:after="0" w:before="28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r0uhxc" w:id="55"/>
      <w:bookmarkEnd w:id="5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replace it with any applicable standard clauses (between the controller and processor) or similar terms forming part of an applicable certification scheme under GDPR Article 42</w:t>
      </w:r>
      <w:bookmarkStart w:colFirst="0" w:colLast="0" w:name="bookmark=id.1664s55" w:id="54"/>
      <w:bookmarkEnd w:id="54"/>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720"/>
        </w:tabs>
        <w:spacing w:after="280" w:before="0" w:line="240" w:lineRule="auto"/>
        <w:ind w:left="1800" w:right="0" w:hanging="36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q5sasy" w:id="56"/>
      <w:bookmarkEnd w:id="5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it complies with guidance issued by the Information Commissioner’s Office</w:t>
      </w:r>
    </w:p>
    <w:p w:rsidR="00000000" w:rsidDel="00000000" w:rsidP="00000000" w:rsidRDefault="00000000" w:rsidRPr="00000000" w14:paraId="0000005B">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25b2l0r" w:id="57"/>
      <w:bookmarkEnd w:id="5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17.  The Parties agree to take account of any non-mandatory guidance issued by the Information Commissioner’s Office.</w:t>
      </w:r>
    </w:p>
    <w:p w:rsidR="00000000" w:rsidDel="00000000" w:rsidP="00000000" w:rsidRDefault="00000000" w:rsidRPr="00000000" w14:paraId="0000005D">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E">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jc w:val="both"/>
        <w:rPr>
          <w:rFonts w:ascii="Arial" w:cs="Arial" w:eastAsia="Arial" w:hAnsi="Arial"/>
          <w:b w:val="1"/>
          <w:smallCaps w:val="1"/>
          <w:sz w:val="20"/>
          <w:szCs w:val="20"/>
        </w:rPr>
      </w:pPr>
      <w:bookmarkStart w:colFirst="0" w:colLast="0" w:name="_heading=h.kgcv8k" w:id="58"/>
      <w:bookmarkEnd w:id="58"/>
      <w:r w:rsidDel="00000000" w:rsidR="00000000" w:rsidRPr="00000000">
        <w:br w:type="page"/>
      </w:r>
      <w:r w:rsidDel="00000000" w:rsidR="00000000" w:rsidRPr="00000000">
        <w:rPr>
          <w:rtl w:val="0"/>
        </w:rPr>
      </w:r>
    </w:p>
    <w:p w:rsidR="00000000" w:rsidDel="00000000" w:rsidP="00000000" w:rsidRDefault="00000000" w:rsidRPr="00000000" w14:paraId="00000060">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4g0dwd" w:id="59"/>
      <w:bookmarkEnd w:id="59"/>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ANNEX 1 </w:t>
      </w:r>
    </w:p>
    <w:p w:rsidR="00000000" w:rsidDel="00000000" w:rsidP="00000000" w:rsidRDefault="00000000" w:rsidRPr="00000000" w14:paraId="00000061">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1jlao46" w:id="60"/>
      <w:bookmarkEnd w:id="60"/>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ab/>
        <w:tab/>
        <w:tab/>
        <w:tab/>
        <w:t xml:space="preserve">      AUTHORISED PROCESSING</w:t>
      </w:r>
    </w:p>
    <w:tbl>
      <w:tblPr>
        <w:tblStyle w:val="Table1"/>
        <w:tblW w:w="9128.0" w:type="dxa"/>
        <w:jc w:val="left"/>
        <w:tblInd w:w="-112.0" w:type="dxa"/>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Layout w:type="fixed"/>
        <w:tblLook w:val="0000"/>
      </w:tblPr>
      <w:tblGrid>
        <w:gridCol w:w="2181"/>
        <w:gridCol w:w="6947"/>
        <w:tblGridChange w:id="0">
          <w:tblGrid>
            <w:gridCol w:w="2181"/>
            <w:gridCol w:w="6947"/>
          </w:tblGrid>
        </w:tblGridChange>
      </w:tblGrid>
      <w:tr>
        <w:trPr>
          <w:cantSplit w:val="0"/>
          <w:trHeight w:val="716" w:hRule="atLeast"/>
          <w:tblHeader w:val="0"/>
        </w:trPr>
        <w:tc>
          <w:tcPr>
            <w:tcBorders>
              <w:top w:color="000000" w:space="0" w:sz="4" w:val="single"/>
              <w:left w:color="000000" w:space="0" w:sz="4" w:val="single"/>
              <w:bottom w:color="000000" w:space="0" w:sz="4" w:val="single"/>
              <w:right w:color="000000" w:space="0" w:sz="4" w:val="single"/>
            </w:tcBorders>
            <w:shd w:fill="bfbfbf" w:val="clear"/>
            <w:tcMar>
              <w:top w:w="0.0" w:type="dxa"/>
              <w:left w:w="108.0" w:type="dxa"/>
              <w:bottom w:w="0.0" w:type="dxa"/>
              <w:right w:w="108.0" w:type="dxa"/>
            </w:tcMar>
            <w:vAlign w:val="center"/>
          </w:tcPr>
          <w:p w:rsidR="00000000" w:rsidDel="00000000" w:rsidP="00000000" w:rsidRDefault="00000000" w:rsidRPr="00000000" w14:paraId="00000062">
            <w:pPr>
              <w:rPr>
                <w:b w:val="1"/>
              </w:rPr>
            </w:pPr>
            <w:bookmarkStart w:colFirst="0" w:colLast="0" w:name="_heading=h.2iq8gzs" w:id="61"/>
            <w:bookmarkEnd w:id="61"/>
            <w:r w:rsidDel="00000000" w:rsidR="00000000" w:rsidRPr="00000000">
              <w:rPr>
                <w:b w:val="1"/>
                <w:sz w:val="24"/>
                <w:szCs w:val="24"/>
                <w:rtl w:val="0"/>
              </w:rPr>
              <w:t xml:space="preserve">Description</w:t>
            </w:r>
            <w:r w:rsidDel="00000000" w:rsidR="00000000" w:rsidRPr="00000000">
              <w:rPr>
                <w:b w:val="1"/>
                <w:strike w:val="1"/>
                <w:color w:val="00000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Mar>
              <w:top w:w="0.0" w:type="dxa"/>
              <w:left w:w="108.0" w:type="dxa"/>
              <w:bottom w:w="0.0" w:type="dxa"/>
              <w:right w:w="108.0" w:type="dxa"/>
            </w:tcMar>
            <w:vAlign w:val="center"/>
          </w:tcPr>
          <w:p w:rsidR="00000000" w:rsidDel="00000000" w:rsidP="00000000" w:rsidRDefault="00000000" w:rsidRPr="00000000" w14:paraId="00000063">
            <w:pPr>
              <w:jc w:val="center"/>
              <w:rPr>
                <w:b w:val="1"/>
                <w:sz w:val="24"/>
                <w:szCs w:val="24"/>
              </w:rPr>
            </w:pPr>
            <w:r w:rsidDel="00000000" w:rsidR="00000000" w:rsidRPr="00000000">
              <w:rPr>
                <w:b w:val="1"/>
                <w:sz w:val="24"/>
                <w:szCs w:val="24"/>
                <w:rtl w:val="0"/>
              </w:rPr>
              <w:t xml:space="preserve">Details</w:t>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4">
            <w:pPr>
              <w:rPr/>
            </w:pPr>
            <w:bookmarkStart w:colFirst="0" w:colLast="0" w:name="_heading=h.xvir7l" w:id="62"/>
            <w:bookmarkEnd w:id="62"/>
            <w:r w:rsidDel="00000000" w:rsidR="00000000" w:rsidRPr="00000000">
              <w:rPr>
                <w:color w:val="000000"/>
                <w:u w:val="none"/>
                <w:rtl w:val="0"/>
              </w:rPr>
              <w:t xml:space="preserve">System Name &amp; Purpose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5">
            <w:pPr>
              <w:rPr>
                <w:i w:val="1"/>
              </w:rPr>
            </w:pPr>
            <w:bookmarkStart w:colFirst="0" w:colLast="0" w:name="_heading=h.3hv69ve" w:id="63"/>
            <w:bookmarkEnd w:id="63"/>
            <w:r w:rsidDel="00000000" w:rsidR="00000000" w:rsidRPr="00000000">
              <w:rPr>
                <w:i w:val="1"/>
                <w:color w:val="000000"/>
                <w:u w:val="none"/>
                <w:rtl w:val="0"/>
              </w:rPr>
              <w:t xml:space="preserve">Name of the system as it will be known and the service(s) delivered</w:t>
            </w:r>
            <w:r w:rsidDel="00000000" w:rsidR="00000000" w:rsidRPr="00000000">
              <w:rPr>
                <w:rtl w:val="0"/>
              </w:rPr>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6">
            <w:pPr>
              <w:rPr/>
            </w:pPr>
            <w:bookmarkStart w:colFirst="0" w:colLast="0" w:name="_heading=h.1x0gk37" w:id="64"/>
            <w:bookmarkEnd w:id="64"/>
            <w:r w:rsidDel="00000000" w:rsidR="00000000" w:rsidRPr="00000000">
              <w:rPr>
                <w:color w:val="000000"/>
                <w:u w:val="none"/>
                <w:rtl w:val="0"/>
              </w:rPr>
              <w:t xml:space="preserve">Data Sub Processors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7">
            <w:pPr>
              <w:widowControl w:val="1"/>
              <w:numPr>
                <w:ilvl w:val="0"/>
                <w:numId w:val="5"/>
              </w:numPr>
              <w:spacing w:after="0" w:line="240" w:lineRule="auto"/>
              <w:ind w:left="720" w:hanging="360"/>
              <w:rPr>
                <w:i w:val="1"/>
              </w:rPr>
            </w:pPr>
            <w:bookmarkStart w:colFirst="0" w:colLast="0" w:name="_heading=h.4h042r0" w:id="65"/>
            <w:bookmarkEnd w:id="65"/>
            <w:r w:rsidDel="00000000" w:rsidR="00000000" w:rsidRPr="00000000">
              <w:rPr>
                <w:i w:val="1"/>
                <w:color w:val="000000"/>
                <w:u w:val="none"/>
                <w:rtl w:val="0"/>
              </w:rPr>
              <w:t xml:space="preserve">List all Data Sub Processors (Suppliers), plus contact details for key personnel (Data Protection Officer or Head of Data Management, Client Manager, Onsite Managers)</w:t>
            </w:r>
            <w:r w:rsidDel="00000000" w:rsidR="00000000" w:rsidRPr="00000000">
              <w:rPr>
                <w:rtl w:val="0"/>
              </w:rPr>
            </w:r>
          </w:p>
          <w:p w:rsidR="00000000" w:rsidDel="00000000" w:rsidP="00000000" w:rsidRDefault="00000000" w:rsidRPr="00000000" w14:paraId="00000068">
            <w:pPr>
              <w:widowControl w:val="1"/>
              <w:numPr>
                <w:ilvl w:val="0"/>
                <w:numId w:val="5"/>
              </w:numPr>
              <w:spacing w:after="0" w:line="240" w:lineRule="auto"/>
              <w:ind w:left="720" w:hanging="360"/>
              <w:rPr>
                <w:i w:val="1"/>
              </w:rPr>
            </w:pPr>
            <w:bookmarkStart w:colFirst="0" w:colLast="0" w:name="_heading=h.2w5ecyt" w:id="66"/>
            <w:bookmarkEnd w:id="66"/>
            <w:r w:rsidDel="00000000" w:rsidR="00000000" w:rsidRPr="00000000">
              <w:rPr>
                <w:i w:val="1"/>
                <w:color w:val="000000"/>
                <w:u w:val="none"/>
                <w:rtl w:val="0"/>
              </w:rPr>
              <w:t xml:space="preserve">Complete all of the details below for all Data Sub Processors</w:t>
            </w:r>
            <w:r w:rsidDel="00000000" w:rsidR="00000000" w:rsidRPr="00000000">
              <w:rPr>
                <w:rtl w:val="0"/>
              </w:rPr>
            </w:r>
          </w:p>
        </w:tc>
      </w:tr>
      <w:tr>
        <w:trPr>
          <w:cantSplit w:val="0"/>
          <w:trHeight w:val="146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9">
            <w:pPr>
              <w:rPr/>
            </w:pPr>
            <w:bookmarkStart w:colFirst="0" w:colLast="0" w:name="_heading=h.1baon6m" w:id="67"/>
            <w:bookmarkEnd w:id="67"/>
            <w:r w:rsidDel="00000000" w:rsidR="00000000" w:rsidRPr="00000000">
              <w:rPr>
                <w:rtl w:val="0"/>
              </w:rPr>
              <w:t xml:space="preserve">Duration of the ‌</w:t>
            </w:r>
            <w:r w:rsidDel="00000000" w:rsidR="00000000" w:rsidRPr="00000000">
              <w:rPr>
                <w:color w:val="000000"/>
                <w:u w:val="none"/>
                <w:rtl w:val="0"/>
              </w:rPr>
              <w:t xml:space="preserve">Processing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A">
            <w:pPr>
              <w:rPr>
                <w:i w:val="1"/>
              </w:rPr>
            </w:pPr>
            <w:bookmarkStart w:colFirst="0" w:colLast="0" w:name="_heading=h.3vac5uf" w:id="68"/>
            <w:bookmarkEnd w:id="68"/>
            <w:r w:rsidDel="00000000" w:rsidR="00000000" w:rsidRPr="00000000">
              <w:rPr>
                <w:i w:val="1"/>
                <w:color w:val="000000"/>
                <w:u w:val="none"/>
                <w:rtl w:val="0"/>
              </w:rPr>
              <w:t xml:space="preserve">Clearly set out the duration of the Processing including dates</w:t>
            </w:r>
            <w:r w:rsidDel="00000000" w:rsidR="00000000" w:rsidRPr="00000000">
              <w:rPr>
                <w:rtl w:val="0"/>
              </w:rPr>
            </w:r>
          </w:p>
        </w:tc>
      </w:tr>
      <w:tr>
        <w:trPr>
          <w:cantSplit w:val="0"/>
          <w:trHeight w:val="153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B">
            <w:pPr>
              <w:rPr/>
            </w:pPr>
            <w:bookmarkStart w:colFirst="0" w:colLast="0" w:name="_heading=h.2afmg28" w:id="69"/>
            <w:bookmarkEnd w:id="69"/>
            <w:r w:rsidDel="00000000" w:rsidR="00000000" w:rsidRPr="00000000">
              <w:rPr>
                <w:color w:val="000000"/>
                <w:u w:val="none"/>
                <w:rtl w:val="0"/>
              </w:rPr>
              <w:t xml:space="preserve">Nature and purposes of the Processing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C">
            <w:pPr>
              <w:rPr/>
            </w:pPr>
            <w:bookmarkStart w:colFirst="0" w:colLast="0" w:name="_heading=h.pkwqa1" w:id="70"/>
            <w:bookmarkEnd w:id="70"/>
            <w:r w:rsidDel="00000000" w:rsidR="00000000" w:rsidRPr="00000000">
              <w:rPr>
                <w:i w:val="1"/>
                <w:color w:val="000000"/>
                <w:u w:val="none"/>
                <w:rtl w:val="0"/>
              </w:rPr>
              <w:t xml:space="preserve">Please be as specific as possible, but make sure that you cover all intended purposes.</w:t>
            </w:r>
            <w:r w:rsidDel="00000000" w:rsidR="00000000" w:rsidRPr="00000000">
              <w:rPr>
                <w:rtl w:val="0"/>
              </w:rPr>
            </w:r>
          </w:p>
          <w:p w:rsidR="00000000" w:rsidDel="00000000" w:rsidP="00000000" w:rsidRDefault="00000000" w:rsidRPr="00000000" w14:paraId="0000006D">
            <w:pPr>
              <w:rPr/>
            </w:pPr>
            <w:bookmarkStart w:colFirst="0" w:colLast="0" w:name="_heading=h.39kk8xu" w:id="71"/>
            <w:bookmarkEnd w:id="71"/>
            <w:r w:rsidDel="00000000" w:rsidR="00000000" w:rsidRPr="00000000">
              <w:rPr>
                <w:i w:val="1"/>
                <w:color w:val="000000"/>
                <w:u w:val="none"/>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r w:rsidDel="00000000" w:rsidR="00000000" w:rsidRPr="00000000">
              <w:rPr>
                <w:rtl w:val="0"/>
              </w:rPr>
            </w:r>
          </w:p>
          <w:p w:rsidR="00000000" w:rsidDel="00000000" w:rsidP="00000000" w:rsidRDefault="00000000" w:rsidRPr="00000000" w14:paraId="0000006E">
            <w:pPr>
              <w:rPr>
                <w:i w:val="1"/>
              </w:rPr>
            </w:pPr>
            <w:bookmarkStart w:colFirst="0" w:colLast="0" w:name="_heading=h.1opuj5n" w:id="72"/>
            <w:bookmarkEnd w:id="72"/>
            <w:r w:rsidDel="00000000" w:rsidR="00000000" w:rsidRPr="00000000">
              <w:rPr>
                <w:i w:val="1"/>
                <w:color w:val="000000"/>
                <w:u w:val="none"/>
                <w:rtl w:val="0"/>
              </w:rPr>
              <w:t xml:space="preserve">The purpose might include: employment</w:t>
            </w:r>
            <w:r w:rsidDel="00000000" w:rsidR="00000000" w:rsidRPr="00000000">
              <w:rPr>
                <w:i w:val="1"/>
                <w:rtl w:val="0"/>
              </w:rPr>
              <w:t xml:space="preserve"> processing</w:t>
            </w:r>
            <w:r w:rsidDel="00000000" w:rsidR="00000000" w:rsidRPr="00000000">
              <w:rPr>
                <w:i w:val="1"/>
                <w:color w:val="000000"/>
                <w:u w:val="none"/>
                <w:rtl w:val="0"/>
              </w:rPr>
              <w:t xml:space="preserve">, statutory obligation, recruitment assessment etc</w:t>
            </w:r>
            <w:r w:rsidDel="00000000" w:rsidR="00000000" w:rsidRPr="00000000">
              <w:rPr>
                <w:rtl w:val="0"/>
              </w:rPr>
            </w:r>
          </w:p>
        </w:tc>
      </w:tr>
      <w:tr>
        <w:trPr>
          <w:cantSplit w:val="0"/>
          <w:trHeight w:val="141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F">
            <w:pPr>
              <w:rPr/>
            </w:pPr>
            <w:r w:rsidDel="00000000" w:rsidR="00000000" w:rsidRPr="00000000">
              <w:rPr>
                <w:rtl w:val="0"/>
              </w:rPr>
              <w:t xml:space="preserve">Type of Personal Data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0">
            <w:pPr>
              <w:rPr>
                <w:i w:val="1"/>
              </w:rPr>
            </w:pPr>
            <w:bookmarkStart w:colFirst="0" w:colLast="0" w:name="_heading=h.48pi1tg" w:id="73"/>
            <w:bookmarkEnd w:id="73"/>
            <w:r w:rsidDel="00000000" w:rsidR="00000000" w:rsidRPr="00000000">
              <w:rPr>
                <w:i w:val="1"/>
                <w:color w:val="000000"/>
                <w:u w:val="none"/>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1">
            <w:pPr>
              <w:rPr/>
            </w:pPr>
            <w:r w:rsidDel="00000000" w:rsidR="00000000" w:rsidRPr="00000000">
              <w:rPr>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2">
            <w:pPr>
              <w:rPr>
                <w:i w:val="1"/>
              </w:rPr>
            </w:pPr>
            <w:bookmarkStart w:colFirst="0" w:colLast="0" w:name="_heading=h.2nusc19" w:id="74"/>
            <w:bookmarkEnd w:id="74"/>
            <w:r w:rsidDel="00000000" w:rsidR="00000000" w:rsidRPr="00000000">
              <w:rPr>
                <w:i w:val="1"/>
                <w:color w:val="000000"/>
                <w:u w:val="none"/>
                <w:rtl w:val="0"/>
              </w:rPr>
              <w:t xml:space="preserve">Examples include: Staff (including volunteers, agents, and temporary workers), customers / clients, suppliers, patients, students / pupils, members of the public, users of a particular</w:t>
              <w:br w:type="textWrapping"/>
              <w:t xml:space="preserve">website etc</w:t>
            </w:r>
            <w:r w:rsidDel="00000000" w:rsidR="00000000" w:rsidRPr="00000000">
              <w:rPr>
                <w:rtl w:val="0"/>
              </w:rPr>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3">
            <w:pPr>
              <w:rPr/>
            </w:pPr>
            <w:bookmarkStart w:colFirst="0" w:colLast="0" w:name="_heading=h.1302m92" w:id="75"/>
            <w:bookmarkEnd w:id="75"/>
            <w:r w:rsidDel="00000000" w:rsidR="00000000" w:rsidRPr="00000000">
              <w:rPr>
                <w:color w:val="000000"/>
                <w:u w:val="none"/>
                <w:rtl w:val="0"/>
              </w:rPr>
              <w:t xml:space="preserve">Data Transfer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4">
            <w:pPr>
              <w:rPr>
                <w:i w:val="1"/>
              </w:rPr>
            </w:pPr>
            <w:bookmarkStart w:colFirst="0" w:colLast="0" w:name="_heading=h.3mzq4wv" w:id="76"/>
            <w:bookmarkEnd w:id="76"/>
            <w:r w:rsidDel="00000000" w:rsidR="00000000" w:rsidRPr="00000000">
              <w:rPr>
                <w:i w:val="1"/>
                <w:color w:val="000000"/>
                <w:u w:val="none"/>
                <w:rtl w:val="0"/>
              </w:rPr>
              <w:t xml:space="preserve">Is any part of the processing performed / accessed from outside if the UK / EEA? (Including by Sub Processor(s)). If so, how is it protected?</w:t>
            </w:r>
            <w:r w:rsidDel="00000000" w:rsidR="00000000" w:rsidRPr="00000000">
              <w:rPr>
                <w:rtl w:val="0"/>
              </w:rPr>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5">
            <w:pPr>
              <w:rPr/>
            </w:pPr>
            <w:bookmarkStart w:colFirst="0" w:colLast="0" w:name="_heading=h.2250f4o" w:id="77"/>
            <w:bookmarkEnd w:id="77"/>
            <w:r w:rsidDel="00000000" w:rsidR="00000000" w:rsidRPr="00000000">
              <w:rPr>
                <w:color w:val="000000"/>
                <w:u w:val="none"/>
                <w:rtl w:val="0"/>
              </w:rPr>
              <w:t xml:space="preserve">Plan for return and destruction of the data once the Processing is complete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6">
            <w:pPr>
              <w:rPr>
                <w:i w:val="1"/>
              </w:rPr>
            </w:pPr>
            <w:bookmarkStart w:colFirst="0" w:colLast="0" w:name="_heading=h.haapch" w:id="78"/>
            <w:bookmarkEnd w:id="78"/>
            <w:r w:rsidDel="00000000" w:rsidR="00000000" w:rsidRPr="00000000">
              <w:rPr>
                <w:i w:val="1"/>
                <w:color w:val="000000"/>
                <w:u w:val="none"/>
                <w:rtl w:val="0"/>
              </w:rPr>
              <w:t xml:space="preserve">Describe how long the data will be retained for, how it be returned or destroyed</w:t>
            </w:r>
            <w:r w:rsidDel="00000000" w:rsidR="00000000" w:rsidRPr="00000000">
              <w:rPr>
                <w:rtl w:val="0"/>
              </w:rPr>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7">
            <w:pPr>
              <w:rPr/>
            </w:pPr>
            <w:bookmarkStart w:colFirst="0" w:colLast="0" w:name="_heading=h.319y80a" w:id="79"/>
            <w:bookmarkEnd w:id="79"/>
            <w:r w:rsidDel="00000000" w:rsidR="00000000" w:rsidRPr="00000000">
              <w:rPr>
                <w:color w:val="000000"/>
                <w:u w:val="none"/>
                <w:rtl w:val="0"/>
              </w:rPr>
              <w:t xml:space="preserve">Buyer contact to notify if rights request received or data breach identified.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78">
            <w:pPr>
              <w:rPr/>
            </w:pPr>
            <w:bookmarkStart w:colFirst="0" w:colLast="0" w:name="_heading=h.1gf8i83" w:id="80"/>
            <w:bookmarkEnd w:id="80"/>
            <w:r w:rsidDel="00000000" w:rsidR="00000000" w:rsidRPr="00000000">
              <w:rPr>
                <w:rtl w:val="0"/>
              </w:rPr>
            </w:r>
          </w:p>
        </w:tc>
      </w:tr>
    </w:tbl>
    <w:p w:rsidR="00000000" w:rsidDel="00000000" w:rsidP="00000000" w:rsidRDefault="00000000" w:rsidRPr="00000000" w14:paraId="00000079">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A">
      <w:pPr>
        <w:keepNext w:val="1"/>
        <w:keepLines w:val="0"/>
        <w:pageBreakBefore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widowControl w:val="1"/>
        <w:spacing w:after="0" w:line="240" w:lineRule="auto"/>
        <w:rPr>
          <w:rFonts w:ascii="Arial" w:cs="Arial" w:eastAsia="Arial" w:hAnsi="Arial"/>
          <w:b w:val="0"/>
          <w:i w:val="0"/>
          <w:smallCaps w:val="0"/>
          <w:strike w:val="0"/>
          <w:color w:val="000000"/>
          <w:sz w:val="24"/>
          <w:szCs w:val="24"/>
          <w:u w:val="none"/>
          <w:shd w:fill="auto" w:val="clear"/>
          <w:vertAlign w:val="baseline"/>
        </w:rPr>
      </w:pPr>
      <w:bookmarkStart w:colFirst="0" w:colLast="0" w:name="_heading=h.40ew0vw" w:id="81"/>
      <w:bookmarkEnd w:id="81"/>
      <w:r w:rsidDel="00000000" w:rsidR="00000000" w:rsidRPr="00000000">
        <w:rPr>
          <w:rtl w:val="0"/>
        </w:rPr>
        <w:t xml:space="preserve"> </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widowControl w:val="1"/>
      <w:tabs>
        <w:tab w:val="center" w:leader="none" w:pos="4513"/>
        <w:tab w:val="right" w:leader="none" w:pos="9016"/>
      </w:tabs>
      <w:spacing w:after="0" w:lineRule="auto"/>
      <w:rPr/>
    </w:pPr>
    <w:r w:rsidDel="00000000" w:rsidR="00000000" w:rsidRPr="00000000">
      <w:rPr>
        <w:sz w:val="16"/>
        <w:szCs w:val="16"/>
        <w:rtl w:val="0"/>
      </w:rPr>
      <w:t xml:space="preserve">Project Version 1.0</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Further Competition under Lot 1C of the RM3830 Facilities Management Marketplace</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Ref: RM3830 (Model V3.0)</w:t>
      <w:tab/>
      <w:tab/>
      <w:t xml:space="preserve">Crown Copyright 2022</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8630"/>
        <w:tab w:val="right" w:leader="none" w:pos="901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5194300</wp:posOffset>
          </wp:positionH>
          <wp:positionV relativeFrom="paragraph">
            <wp:posOffset>20955</wp:posOffset>
          </wp:positionV>
          <wp:extent cx="825500" cy="692150"/>
          <wp:effectExtent b="0" l="0" r="0" t="0"/>
          <wp:wrapSquare wrapText="bothSides" distB="0" distT="0" distL="114300" distR="114300"/>
          <wp:docPr descr="https://lh6.googleusercontent.com/eTjmBXx3xlUd8dXr189uAhL5wKMvtoARRd5PBHE4MvZbqArG__xeKNCp-_ICa_Qu_qG3FdHGHDf7h_MKkGbmHxXuZ50B3Fu_gZnxRpdnepmisW01VDhM2LPBlhdewL0po5oNN_w4" id="4" name="image1.png"/>
          <a:graphic>
            <a:graphicData uri="http://schemas.openxmlformats.org/drawingml/2006/picture">
              <pic:pic>
                <pic:nvPicPr>
                  <pic:cNvPr descr="https://lh6.googleusercontent.com/eTjmBXx3xlUd8dXr189uAhL5wKMvtoARRd5PBHE4MvZbqArG__xeKNCp-_ICa_Qu_qG3FdHGHDf7h_MKkGbmHxXuZ50B3Fu_gZnxRpdnepmisW01VDhM2LPBlhdewL0po5oNN_w4" id="0" name="image1.png"/>
                  <pic:cNvPicPr preferRelativeResize="0"/>
                </pic:nvPicPr>
                <pic:blipFill>
                  <a:blip r:embed="rId1"/>
                  <a:srcRect b="0" l="0" r="0" t="0"/>
                  <a:stretch>
                    <a:fillRect/>
                  </a:stretch>
                </pic:blipFill>
                <pic:spPr>
                  <a:xfrm>
                    <a:off x="0" y="0"/>
                    <a:ext cx="825500" cy="692150"/>
                  </a:xfrm>
                  <a:prstGeom prst="rect"/>
                  <a:ln/>
                </pic:spPr>
              </pic:pic>
            </a:graphicData>
          </a:graphic>
        </wp:anchor>
      </w:drawing>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F">
    <w:pPr>
      <w:widowControl w:val="1"/>
      <w:spacing w:after="0" w:lineRule="auto"/>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b w:val="1"/>
        <w:rtl w:val="0"/>
      </w:rPr>
      <w:t xml:space="preserve">Customer Support &amp; Community (Provision of Soft FM Services) London</w:t>
    </w:r>
    <w:r w:rsidDel="00000000" w:rsidR="00000000" w:rsidRPr="00000000">
      <w:rPr>
        <w:rtl w:val="0"/>
      </w:rPr>
    </w:r>
  </w:p>
  <w:p w:rsidR="00000000" w:rsidDel="00000000" w:rsidP="00000000" w:rsidRDefault="00000000" w:rsidRPr="00000000" w14:paraId="00000080">
    <w:pPr>
      <w:widowControl w:val="1"/>
      <w:tabs>
        <w:tab w:val="center" w:leader="none" w:pos="4513"/>
        <w:tab w:val="right" w:leader="none" w:pos="9016"/>
      </w:tabs>
      <w:spacing w:after="0" w:lineRule="auto"/>
      <w:rPr>
        <w:b w:val="1"/>
      </w:rPr>
    </w:pPr>
    <w:r w:rsidDel="00000000" w:rsidR="00000000" w:rsidRPr="00000000">
      <w:rPr>
        <w:b w:val="1"/>
        <w:rtl w:val="0"/>
      </w:rPr>
      <w:t xml:space="preserve">Joint Schedule 11: Processing Data</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863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8630"/>
        <w:tab w:val="right" w:leader="none" w:pos="901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widowControl w:val="0"/>
      <w:autoSpaceDE w:val="0"/>
      <w:autoSpaceDN w:val="0"/>
      <w:adjustRightInd w:val="0"/>
      <w:spacing w:after="200" w:line="276" w:lineRule="auto"/>
    </w:pPr>
    <w:rPr>
      <w:rFonts w:ascii="Calibri" w:cs="Calibri" w:hAnsi="Calibri"/>
      <w:lang w:val="en-US"/>
    </w:rPr>
  </w:style>
  <w:style w:type="paragraph" w:styleId="Heading1">
    <w:name w:val="heading 1"/>
    <w:basedOn w:val="Normal"/>
    <w:next w:val="Normal"/>
    <w:link w:val="Heading1Char"/>
    <w:uiPriority w:val="9"/>
    <w:qFormat w:val="1"/>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qFormat w:val="1"/>
    <w:pPr>
      <w:keepNext w:val="1"/>
      <w:keepLines w:val="1"/>
      <w:spacing w:after="80" w:before="280"/>
      <w:outlineLvl w:val="2"/>
    </w:pPr>
    <w:rPr>
      <w:b w:val="1"/>
      <w:sz w:val="28"/>
      <w:szCs w:val="28"/>
    </w:rPr>
  </w:style>
  <w:style w:type="paragraph" w:styleId="Heading4">
    <w:name w:val="heading 4"/>
    <w:basedOn w:val="Normal"/>
    <w:next w:val="Normal"/>
    <w:link w:val="Heading4Char"/>
    <w:uiPriority w:val="9"/>
    <w:qFormat w:val="1"/>
    <w:pPr>
      <w:keepNext w:val="1"/>
      <w:keepLines w:val="1"/>
      <w:spacing w:after="40" w:before="240"/>
      <w:outlineLvl w:val="3"/>
    </w:pPr>
    <w:rPr>
      <w:b w:val="1"/>
      <w:sz w:val="24"/>
      <w:szCs w:val="24"/>
    </w:rPr>
  </w:style>
  <w:style w:type="paragraph" w:styleId="Heading5">
    <w:name w:val="heading 5"/>
    <w:basedOn w:val="Normal"/>
    <w:next w:val="Normal"/>
    <w:link w:val="Heading5Char"/>
    <w:uiPriority w:val="9"/>
    <w:qFormat w:val="1"/>
    <w:pPr>
      <w:keepNext w:val="1"/>
      <w:keepLines w:val="1"/>
      <w:spacing w:after="40" w:before="220"/>
      <w:outlineLvl w:val="4"/>
    </w:pPr>
    <w:rPr>
      <w:b w:val="1"/>
    </w:rPr>
  </w:style>
  <w:style w:type="paragraph" w:styleId="Heading6">
    <w:name w:val="heading 6"/>
    <w:basedOn w:val="Normal"/>
    <w:next w:val="Normal"/>
    <w:link w:val="Heading6Char"/>
    <w:uiPriority w:val="9"/>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Pr>
      <w:rFonts w:ascii="Calibri Light" w:cs="Times New Roman" w:hAnsi="Calibri Light"/>
      <w:b w:val="1"/>
      <w:kern w:val="32"/>
      <w:sz w:val="32"/>
      <w:szCs w:val="32"/>
      <w:lang w:val="en-US"/>
    </w:rPr>
  </w:style>
  <w:style w:type="character" w:styleId="Heading2Char" w:customStyle="1">
    <w:name w:val="Heading 2 Char"/>
    <w:basedOn w:val="DefaultParagraphFont"/>
    <w:link w:val="Heading2"/>
    <w:uiPriority w:val="9"/>
    <w:rPr>
      <w:rFonts w:ascii="Calibri Light" w:cs="Times New Roman" w:hAnsi="Calibri Light"/>
      <w:b w:val="1"/>
      <w:i w:val="1"/>
      <w:sz w:val="28"/>
      <w:szCs w:val="28"/>
      <w:lang w:val="en-US"/>
    </w:rPr>
  </w:style>
  <w:style w:type="character" w:styleId="Heading3Char" w:customStyle="1">
    <w:name w:val="Heading 3 Char"/>
    <w:basedOn w:val="DefaultParagraphFont"/>
    <w:link w:val="Heading3"/>
    <w:uiPriority w:val="9"/>
    <w:rPr>
      <w:rFonts w:ascii="Calibri Light" w:cs="Times New Roman" w:hAnsi="Calibri Light"/>
      <w:b w:val="1"/>
      <w:sz w:val="26"/>
      <w:szCs w:val="26"/>
      <w:lang w:val="en-US"/>
    </w:rPr>
  </w:style>
  <w:style w:type="character" w:styleId="Heading4Char" w:customStyle="1">
    <w:name w:val="Heading 4 Char"/>
    <w:basedOn w:val="DefaultParagraphFont"/>
    <w:link w:val="Heading4"/>
    <w:uiPriority w:val="9"/>
    <w:rPr>
      <w:b w:val="1"/>
      <w:sz w:val="28"/>
      <w:szCs w:val="28"/>
      <w:lang w:val="en-US"/>
    </w:rPr>
  </w:style>
  <w:style w:type="character" w:styleId="Heading5Char" w:customStyle="1">
    <w:name w:val="Heading 5 Char"/>
    <w:basedOn w:val="DefaultParagraphFont"/>
    <w:link w:val="Heading5"/>
    <w:uiPriority w:val="9"/>
    <w:rPr>
      <w:b w:val="1"/>
      <w:i w:val="1"/>
      <w:sz w:val="26"/>
      <w:szCs w:val="26"/>
      <w:lang w:val="en-US"/>
    </w:rPr>
  </w:style>
  <w:style w:type="character" w:styleId="Heading6Char" w:customStyle="1">
    <w:name w:val="Heading 6 Char"/>
    <w:basedOn w:val="DefaultParagraphFont"/>
    <w:link w:val="Heading6"/>
    <w:uiPriority w:val="9"/>
    <w:rPr>
      <w:b w:val="1"/>
      <w:lang w:val="en-US"/>
    </w:rPr>
  </w:style>
  <w:style w:type="paragraph" w:styleId="Title">
    <w:name w:val="Title"/>
    <w:basedOn w:val="Normal"/>
    <w:next w:val="Normal"/>
    <w:link w:val="TitleChar"/>
    <w:uiPriority w:val="10"/>
    <w:qFormat w:val="1"/>
    <w:pPr>
      <w:keepNext w:val="1"/>
      <w:keepLines w:val="1"/>
      <w:spacing w:after="120" w:before="480"/>
    </w:pPr>
    <w:rPr>
      <w:b w:val="1"/>
      <w:sz w:val="72"/>
      <w:szCs w:val="72"/>
    </w:rPr>
  </w:style>
  <w:style w:type="character" w:styleId="TitleChar" w:customStyle="1">
    <w:name w:val="Title Char"/>
    <w:basedOn w:val="DefaultParagraphFont"/>
    <w:link w:val="Title"/>
    <w:uiPriority w:val="10"/>
    <w:rPr>
      <w:rFonts w:ascii="Calibri Light" w:cs="Times New Roman" w:hAnsi="Calibri Light"/>
      <w:b w:val="1"/>
      <w:kern w:val="28"/>
      <w:sz w:val="32"/>
      <w:szCs w:val="32"/>
      <w:lang w:val="en-US"/>
    </w:rPr>
  </w:style>
  <w:style w:type="paragraph" w:styleId="Header">
    <w:name w:val="header"/>
    <w:basedOn w:val="Normal"/>
    <w:link w:val="HeaderChar"/>
    <w:uiPriority w:val="99"/>
    <w:pPr>
      <w:tabs>
        <w:tab w:val="center" w:pos="4513"/>
        <w:tab w:val="right" w:pos="8630"/>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pPr>
      <w:tabs>
        <w:tab w:val="center" w:pos="4513"/>
        <w:tab w:val="right" w:pos="8630"/>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uiPriority w:val="20"/>
    <w:qFormat w:val="1"/>
    <w:rPr>
      <w:i w:val="1"/>
    </w:rPr>
  </w:style>
  <w:style w:type="paragraph" w:styleId="GPSSchTitleandNumber" w:customStyle="1">
    <w:name w:val="GPS Sch Title and Number"/>
    <w:basedOn w:val="Normal"/>
    <w:qFormat w:val="1"/>
    <w:pPr>
      <w:keepNext w:val="1"/>
      <w:spacing w:after="240" w:line="240" w:lineRule="auto"/>
      <w:jc w:val="center"/>
      <w:outlineLvl w:val="0"/>
    </w:pPr>
    <w:rPr>
      <w:rFonts w:ascii="Arial Bold" w:cs="Times New Roman" w:hAnsi="Arial Bold"/>
      <w:b w:val="1"/>
      <w:caps w:val="1"/>
    </w:rPr>
  </w:style>
  <w:style w:type="character" w:styleId="GPSSchTitleandNumberChar" w:customStyle="1">
    <w:name w:val="GPS Sch Title and Number Char"/>
    <w:rPr>
      <w:rFonts w:ascii="Arial Bold" w:cs="Times New Roman" w:hAnsi="Arial Bold"/>
      <w:b w:val="1"/>
      <w:caps w:val="1"/>
    </w:rPr>
  </w:style>
  <w:style w:type="paragraph" w:styleId="TSOLScheduleAnnexName" w:customStyle="1">
    <w:name w:val="TSOL Schedule Annex Name"/>
    <w:qFormat w:val="1"/>
    <w:pPr>
      <w:widowControl w:val="0"/>
      <w:autoSpaceDE w:val="0"/>
      <w:autoSpaceDN w:val="0"/>
      <w:adjustRightInd w:val="0"/>
      <w:spacing w:after="240" w:line="240" w:lineRule="auto"/>
      <w:jc w:val="center"/>
      <w:outlineLvl w:val="1"/>
    </w:pPr>
    <w:rPr>
      <w:rFonts w:ascii="Calibri" w:cs="Arial" w:hAnsi="Calibri"/>
      <w:b w:val="1"/>
      <w:caps w:val="1"/>
      <w:lang w:val="en-US"/>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basedOn w:val="CommentTextChar"/>
    <w:link w:val="CommentSubject"/>
    <w:uiPriority w:val="99"/>
    <w:rPr>
      <w:b w:val="1"/>
      <w:sz w:val="20"/>
      <w:szCs w:val="20"/>
    </w:rPr>
  </w:style>
  <w:style w:type="paragraph" w:styleId="BalloonText">
    <w:name w:val="Balloon Text"/>
    <w:basedOn w:val="Normal"/>
    <w:link w:val="BalloonTextChar"/>
    <w:uiPriority w:val="99"/>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rPr>
      <w:rFonts w:ascii="Tahoma" w:cs="Tahoma" w:hAnsi="Tahoma"/>
      <w:sz w:val="16"/>
      <w:szCs w:val="16"/>
    </w:rPr>
  </w:style>
  <w:style w:type="paragraph" w:styleId="Normal1" w:customStyle="1">
    <w:name w:val="Normal1"/>
    <w:pPr>
      <w:widowControl w:val="0"/>
      <w:autoSpaceDE w:val="0"/>
      <w:autoSpaceDN w:val="0"/>
      <w:adjustRightInd w:val="0"/>
      <w:spacing w:after="80" w:line="240" w:lineRule="auto"/>
    </w:pPr>
    <w:rPr>
      <w:rFonts w:ascii="Calibri" w:cs="Calibri" w:hAnsi="Calibri"/>
      <w:color w:val="000000"/>
      <w:lang w:val="en-U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uiPriority w:val="99"/>
    <w:rPr>
      <w:color w:val="800080"/>
      <w:u w:val="single"/>
    </w:rPr>
  </w:style>
  <w:style w:type="paragraph" w:styleId="GPSL2Numbered" w:customStyle="1">
    <w:name w:val="GPS L2 Numbered"/>
    <w:basedOn w:val="Normal"/>
    <w:qFormat w:val="1"/>
    <w:pPr>
      <w:tabs>
        <w:tab w:val="left" w:pos="709"/>
        <w:tab w:val="left" w:pos="1134"/>
      </w:tabs>
      <w:spacing w:after="120" w:before="120" w:line="240" w:lineRule="auto"/>
      <w:jc w:val="both"/>
    </w:pPr>
    <w:rPr>
      <w:rFonts w:cs="Arial"/>
    </w:rPr>
  </w:style>
  <w:style w:type="character" w:styleId="GPSL2NumberedChar" w:customStyle="1">
    <w:name w:val="GPS L2 Numbered Char"/>
    <w:rPr>
      <w:rFonts w:ascii="Calibri" w:cs="Arial" w:hAnsi="Calibri"/>
    </w:rPr>
  </w:style>
  <w:style w:type="paragraph" w:styleId="Revision">
    <w:name w:val="Revision"/>
    <w:hidden w:val="1"/>
    <w:uiPriority w:val="99"/>
    <w:pPr>
      <w:widowControl w:val="0"/>
      <w:autoSpaceDE w:val="0"/>
      <w:autoSpaceDN w:val="0"/>
      <w:adjustRightInd w:val="0"/>
      <w:spacing w:after="0" w:line="240" w:lineRule="auto"/>
    </w:pPr>
    <w:rPr>
      <w:rFonts w:ascii="Calibri" w:cs="Calibri" w:hAnsi="Calibri"/>
      <w:lang w:val="en-US"/>
    </w:rPr>
  </w:style>
  <w:style w:type="paragraph" w:styleId="ScheduleTitleClause" w:customStyle="1">
    <w:name w:val="Schedule Title Clause"/>
    <w:basedOn w:val="Normal"/>
    <w:pPr>
      <w:keepNext w:val="1"/>
      <w:numPr>
        <w:ilvl w:val="2"/>
        <w:numId w:val="1"/>
      </w:numPr>
      <w:spacing w:after="240" w:before="240" w:line="300" w:lineRule="atLeast"/>
      <w:jc w:val="both"/>
      <w:outlineLvl w:val="0"/>
    </w:pPr>
    <w:rPr>
      <w:rFonts w:ascii="Arial" w:cs="Times New Roman" w:hAnsi="Arial"/>
      <w:b w:val="1"/>
      <w:color w:val="000000"/>
      <w:kern w:val="28"/>
      <w:szCs w:val="20"/>
    </w:rPr>
  </w:style>
  <w:style w:type="paragraph" w:styleId="ScheduleUntitledsubclause1" w:customStyle="1">
    <w:name w:val="Schedule Untitled subclause 1"/>
    <w:basedOn w:val="Normal"/>
    <w:pPr>
      <w:numPr>
        <w:ilvl w:val="3"/>
        <w:numId w:val="1"/>
      </w:numPr>
      <w:spacing w:after="120" w:before="280" w:line="300" w:lineRule="atLeast"/>
      <w:jc w:val="both"/>
      <w:outlineLvl w:val="1"/>
    </w:pPr>
    <w:rPr>
      <w:rFonts w:ascii="Arial" w:cs="Times New Roman" w:hAnsi="Arial"/>
      <w:color w:val="000000"/>
      <w:szCs w:val="20"/>
    </w:rPr>
  </w:style>
  <w:style w:type="paragraph" w:styleId="ScheduleUntitledsubclause2" w:customStyle="1">
    <w:name w:val="Schedule Untitled subclause 2"/>
    <w:basedOn w:val="Normal"/>
    <w:pPr>
      <w:numPr>
        <w:ilvl w:val="4"/>
        <w:numId w:val="1"/>
      </w:numPr>
      <w:spacing w:after="120" w:line="300" w:lineRule="atLeast"/>
      <w:jc w:val="both"/>
      <w:outlineLvl w:val="2"/>
    </w:pPr>
    <w:rPr>
      <w:rFonts w:ascii="Arial" w:cs="Times New Roman" w:hAnsi="Arial"/>
      <w:color w:val="000000"/>
      <w:szCs w:val="20"/>
    </w:rPr>
  </w:style>
  <w:style w:type="paragraph" w:styleId="ScheduleUntitledsubclause3" w:customStyle="1">
    <w:name w:val="Schedule Untitled subclause 3"/>
    <w:basedOn w:val="Normal"/>
    <w:pPr>
      <w:numPr>
        <w:ilvl w:val="5"/>
        <w:numId w:val="1"/>
      </w:numPr>
      <w:tabs>
        <w:tab w:val="left" w:pos="2261"/>
      </w:tabs>
      <w:spacing w:after="120" w:line="300" w:lineRule="atLeast"/>
      <w:jc w:val="both"/>
      <w:outlineLvl w:val="3"/>
    </w:pPr>
    <w:rPr>
      <w:rFonts w:ascii="Arial" w:cs="Times New Roman" w:hAnsi="Arial"/>
      <w:color w:val="000000"/>
      <w:szCs w:val="20"/>
    </w:rPr>
  </w:style>
  <w:style w:type="paragraph" w:styleId="Schedule" w:customStyle="1">
    <w:name w:val="Schedule"/>
    <w:qFormat w:val="1"/>
    <w:pPr>
      <w:widowControl w:val="0"/>
      <w:numPr>
        <w:numId w:val="1"/>
      </w:numPr>
      <w:autoSpaceDE w:val="0"/>
      <w:autoSpaceDN w:val="0"/>
      <w:adjustRightInd w:val="0"/>
      <w:spacing w:after="240" w:before="240" w:line="240" w:lineRule="atLeast"/>
    </w:pPr>
    <w:rPr>
      <w:rFonts w:ascii="Arial" w:cs="Times New Roman" w:hAnsi="Arial"/>
      <w:b w:val="1"/>
      <w:color w:val="000000"/>
      <w:lang w:val="en-US"/>
    </w:rPr>
  </w:style>
  <w:style w:type="paragraph" w:styleId="Part" w:customStyle="1">
    <w:name w:val="Part"/>
    <w:basedOn w:val="Normal"/>
    <w:qFormat w:val="1"/>
    <w:pPr>
      <w:numPr>
        <w:ilvl w:val="1"/>
        <w:numId w:val="1"/>
      </w:numPr>
      <w:spacing w:after="240" w:before="240" w:line="300" w:lineRule="atLeast"/>
    </w:pPr>
    <w:rPr>
      <w:rFonts w:ascii="Arial" w:cs="Times New Roman" w:hAnsi="Arial"/>
      <w:b w:val="1"/>
      <w:color w:val="000000"/>
      <w:szCs w:val="20"/>
    </w:rPr>
  </w:style>
  <w:style w:type="paragraph" w:styleId="NormalWeb">
    <w:name w:val="Normal (Web)"/>
    <w:basedOn w:val="Normal"/>
    <w:uiPriority w:val="99"/>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style>
  <w:style w:type="paragraph" w:styleId="ListParagraph">
    <w:name w:val="List Paragraph"/>
    <w:basedOn w:val="Normal"/>
    <w:uiPriority w:val="34"/>
    <w:qFormat w:val="1"/>
    <w:pPr>
      <w:suppressAutoHyphens w:val="1"/>
      <w:ind w:left="720"/>
    </w:pPr>
    <w:rPr>
      <w:rFonts w:cs="Times New Roman"/>
    </w:rPr>
  </w:style>
  <w:style w:type="paragraph" w:styleId="GPsDefinition" w:customStyle="1">
    <w:name w:val="GPs Definition"/>
    <w:basedOn w:val="Normal"/>
    <w:qFormat w:val="1"/>
    <w:pPr>
      <w:tabs>
        <w:tab w:val="left" w:pos="-179"/>
      </w:tabs>
      <w:spacing w:after="120" w:line="240" w:lineRule="auto"/>
      <w:jc w:val="both"/>
    </w:pPr>
    <w:rPr>
      <w:rFonts w:ascii="Arial" w:cs="Arial" w:hAnsi="Arial"/>
    </w:rPr>
  </w:style>
  <w:style w:type="paragraph" w:styleId="Subtitle">
    <w:name w:val="Subtitle"/>
    <w:basedOn w:val="Normal"/>
    <w:next w:val="Normal"/>
    <w:link w:val="SubtitleChar"/>
    <w:uiPriority w:val="11"/>
    <w:qFormat w:val="1"/>
    <w:pPr>
      <w:keepNext w:val="1"/>
      <w:keepLines w:val="1"/>
      <w:spacing w:after="80" w:before="360"/>
    </w:pPr>
    <w:rPr>
      <w:rFonts w:ascii="Georgia" w:cs="Georgia" w:hAnsi="Georgia"/>
      <w:i w:val="1"/>
      <w:color w:val="666666"/>
      <w:sz w:val="48"/>
      <w:szCs w:val="48"/>
    </w:rPr>
  </w:style>
  <w:style w:type="character" w:styleId="SubtitleChar" w:customStyle="1">
    <w:name w:val="Subtitle Char"/>
    <w:basedOn w:val="DefaultParagraphFont"/>
    <w:link w:val="Subtitle"/>
    <w:uiPriority w:val="11"/>
    <w:rPr>
      <w:rFonts w:ascii="Calibri Light" w:cs="Times New Roman" w:hAnsi="Calibri Light"/>
      <w:sz w:val="24"/>
      <w:szCs w:val="24"/>
      <w:lang w:val="en-US"/>
    </w:rPr>
  </w:style>
  <w:style w:type="paragraph" w:styleId="TOC1">
    <w:name w:val="toc 1"/>
    <w:basedOn w:val="Normal"/>
    <w:next w:val="Normal"/>
    <w:autoRedefine w:val="1"/>
    <w:uiPriority w:val="39"/>
    <w:pPr>
      <w:spacing w:after="100"/>
    </w:pPr>
  </w:style>
  <w:style w:type="paragraph" w:styleId="TOC4">
    <w:name w:val="toc 4"/>
    <w:basedOn w:val="Normal"/>
    <w:next w:val="Normal"/>
    <w:autoRedefine w:val="1"/>
    <w:uiPriority w:val="39"/>
    <w:pPr>
      <w:spacing w:after="100"/>
      <w:ind w:left="660"/>
    </w:pPr>
  </w:style>
  <w:style w:type="paragraph" w:styleId="DeltaViewTableHeading" w:customStyle="1">
    <w:name w:val="DeltaView Table Heading"/>
    <w:basedOn w:val="Normal"/>
    <w:uiPriority w:val="99"/>
    <w:pPr>
      <w:widowControl w:val="1"/>
      <w:spacing w:after="120" w:line="240" w:lineRule="auto"/>
    </w:pPr>
    <w:rPr>
      <w:rFonts w:ascii="Arial" w:hAnsi="Arial"/>
      <w:b w:val="1"/>
      <w:sz w:val="24"/>
      <w:szCs w:val="24"/>
    </w:rPr>
  </w:style>
  <w:style w:type="paragraph" w:styleId="DeltaViewTableBody" w:customStyle="1">
    <w:name w:val="DeltaView Table Body"/>
    <w:basedOn w:val="Normal"/>
    <w:uiPriority w:val="99"/>
    <w:pPr>
      <w:widowControl w:val="1"/>
      <w:spacing w:after="0" w:line="240" w:lineRule="auto"/>
    </w:pPr>
    <w:rPr>
      <w:rFonts w:ascii="Arial" w:hAnsi="Arial"/>
      <w:sz w:val="24"/>
      <w:szCs w:val="24"/>
    </w:rPr>
  </w:style>
  <w:style w:type="paragraph" w:styleId="DeltaViewAnnounce" w:customStyle="1">
    <w:name w:val="DeltaView Announce"/>
    <w:uiPriority w:val="99"/>
    <w:pPr>
      <w:widowControl w:val="0"/>
      <w:autoSpaceDE w:val="0"/>
      <w:autoSpaceDN w:val="0"/>
      <w:adjustRightInd w:val="0"/>
      <w:spacing w:after="100" w:afterAutospacing="1" w:before="100" w:beforeAutospacing="1" w:line="240" w:lineRule="auto"/>
    </w:pPr>
    <w:rPr>
      <w:rFonts w:ascii="Arial" w:cs="Calibri" w:hAnsi="Arial"/>
      <w:sz w:val="24"/>
      <w:szCs w:val="24"/>
      <w:lang w:val="en-US"/>
    </w:rPr>
  </w:style>
  <w:style w:type="paragraph" w:styleId="BodyText">
    <w:name w:val="Body Text"/>
    <w:basedOn w:val="Normal"/>
    <w:link w:val="BodyTextChar"/>
    <w:uiPriority w:val="99"/>
    <w:pPr>
      <w:widowControl w:val="1"/>
      <w:spacing w:after="0" w:line="240" w:lineRule="auto"/>
    </w:pPr>
    <w:rPr>
      <w:sz w:val="18"/>
      <w:szCs w:val="24"/>
    </w:rPr>
  </w:style>
  <w:style w:type="character" w:styleId="BodyTextChar" w:customStyle="1">
    <w:name w:val="Body Text Char"/>
    <w:basedOn w:val="DefaultParagraphFont"/>
    <w:link w:val="BodyText"/>
    <w:uiPriority w:val="99"/>
    <w:rPr>
      <w:rFonts w:ascii="Calibri" w:cs="Calibri" w:hAnsi="Calibri"/>
      <w:lang w:val="en-US"/>
    </w:rPr>
  </w:style>
  <w:style w:type="character" w:styleId="DeltaViewInsertion" w:customStyle="1">
    <w:name w:val="DeltaView Insertion"/>
    <w:uiPriority w:val="99"/>
    <w:rPr>
      <w:color w:val="0000ff"/>
      <w:u w:val="double"/>
    </w:rPr>
  </w:style>
  <w:style w:type="character" w:styleId="DeltaViewDeletion" w:customStyle="1">
    <w:name w:val="DeltaView Deletion"/>
    <w:uiPriority w:val="99"/>
    <w:rPr>
      <w:strike w:val="1"/>
      <w:color w:val="ff0000"/>
    </w:rPr>
  </w:style>
  <w:style w:type="character" w:styleId="DeltaViewMoveSource" w:customStyle="1">
    <w:name w:val="DeltaView Move Source"/>
    <w:uiPriority w:val="99"/>
    <w:rPr>
      <w:strike w:val="1"/>
      <w:color w:val="00c000"/>
    </w:rPr>
  </w:style>
  <w:style w:type="character" w:styleId="DeltaViewMoveDestination" w:customStyle="1">
    <w:name w:val="DeltaView Move Destination"/>
    <w:uiPriority w:val="99"/>
    <w:rPr>
      <w:color w:val="00c000"/>
      <w:u w:val="double"/>
    </w:rPr>
  </w:style>
  <w:style w:type="character" w:styleId="DeltaViewChangeNumber" w:customStyle="1">
    <w:name w:val="DeltaView Change Number"/>
    <w:uiPriority w:val="99"/>
    <w:rPr>
      <w:color w:val="000000"/>
      <w:vertAlign w:val="superscript"/>
    </w:rPr>
  </w:style>
  <w:style w:type="character" w:styleId="DeltaViewDelimiter" w:customStyle="1">
    <w:name w:val="DeltaView Delimiter"/>
    <w:uiPriority w:val="99"/>
  </w:style>
  <w:style w:type="paragraph" w:styleId="DocumentMap">
    <w:name w:val="Document Map"/>
    <w:basedOn w:val="Normal"/>
    <w:next w:val="CommentSubject"/>
    <w:link w:val="DocumentMapChar"/>
    <w:uiPriority w:val="99"/>
    <w:pPr>
      <w:widowControl w:val="1"/>
      <w:shd w:color="auto" w:fill="000080" w:val="clear"/>
      <w:spacing w:after="0" w:line="240" w:lineRule="auto"/>
    </w:pPr>
    <w:rPr>
      <w:rFonts w:ascii="Tahoma" w:hAnsi="Tahoma"/>
      <w:sz w:val="24"/>
      <w:szCs w:val="24"/>
    </w:rPr>
  </w:style>
  <w:style w:type="character" w:styleId="DocumentMapChar" w:customStyle="1">
    <w:name w:val="Document Map Char"/>
    <w:basedOn w:val="DefaultParagraphFont"/>
    <w:link w:val="DocumentMap"/>
    <w:uiPriority w:val="99"/>
    <w:rPr>
      <w:rFonts w:ascii="Segoe UI" w:cs="Segoe UI" w:hAnsi="Segoe UI"/>
      <w:sz w:val="16"/>
      <w:szCs w:val="16"/>
      <w:lang w:val="en-US"/>
    </w:rPr>
  </w:style>
  <w:style w:type="character" w:styleId="DeltaViewFormatChange" w:customStyle="1">
    <w:name w:val="DeltaView Format Change"/>
    <w:uiPriority w:val="99"/>
    <w:rPr>
      <w:color w:val="000000"/>
    </w:rPr>
  </w:style>
  <w:style w:type="character" w:styleId="DeltaViewMovedDeletion" w:customStyle="1">
    <w:name w:val="DeltaView Moved Deletion"/>
    <w:uiPriority w:val="99"/>
    <w:rPr>
      <w:strike w:val="1"/>
      <w:color w:val="c08080"/>
    </w:rPr>
  </w:style>
  <w:style w:type="character" w:styleId="DeltaViewComment" w:customStyle="1">
    <w:name w:val="DeltaView Comment"/>
    <w:basedOn w:val="DefaultParagraphFont"/>
    <w:uiPriority w:val="99"/>
    <w:rPr>
      <w:color w:val="000000"/>
    </w:rPr>
  </w:style>
  <w:style w:type="character" w:styleId="DeltaViewStyleChangeText" w:customStyle="1">
    <w:name w:val="DeltaView Style Change Text"/>
    <w:uiPriority w:val="99"/>
    <w:rPr>
      <w:color w:val="000000"/>
      <w:u w:val="double"/>
    </w:rPr>
  </w:style>
  <w:style w:type="character" w:styleId="DeltaViewStyleChangeLabel" w:customStyle="1">
    <w:name w:val="DeltaView Style Change Label"/>
    <w:uiPriority w:val="99"/>
    <w:rPr>
      <w:color w:val="000000"/>
    </w:rPr>
  </w:style>
  <w:style w:type="character" w:styleId="DeltaViewInsertedComment" w:customStyle="1">
    <w:name w:val="DeltaView Inserted Comment"/>
    <w:basedOn w:val="DefaultParagraphFont"/>
    <w:uiPriority w:val="99"/>
    <w:rPr>
      <w:color w:val="0000ff"/>
      <w:u w:val="double"/>
    </w:rPr>
  </w:style>
  <w:style w:type="character" w:styleId="DeltaViewDeletedComment" w:customStyle="1">
    <w:name w:val="DeltaView Deleted Comment"/>
    <w:basedOn w:val="DefaultParagraphFont"/>
    <w:uiPriority w:val="99"/>
    <w:rPr>
      <w:strike w:val="1"/>
      <w:color w:val="ff0000"/>
    </w:rPr>
  </w:style>
  <w:style w:type="character" w:styleId="DeltaViewParagraphAlignmentChanged" w:customStyle="1">
    <w:name w:val="DeltaView Paragraph Alignment Changed"/>
    <w:basedOn w:val="DefaultParagraphFont"/>
    <w:uiPriority w:val="99"/>
    <w:rPr>
      <w:color w:val="00000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R60kcOmyXDYODcQ9/JywSQ6Q/w==">CgMxLjAyCGguZ2pkZ3hzMgloLjN6bnlzaDcyCWguMmV0OTJwMDIIaC50eWpjd3QyCWguM2R5NnZrbTIJaC4xdDNoNXNmMgloLjRkMzRvZzgyCWguMnM4ZXlvMTIJaC4xN2RwOHZ1MgloLjNyZGNyam4yCWguMzVua3VuMjIJaC4yanhzeHFoMgloLjF5ODEwdHc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KaWQuMTY2NHM1NTIJaC4ycjB1aHhjMgloLjNxNXNhc3kyCWguMjViMmwwcjIIaC5rZ2N2OGsyCWguMzRnMGR3ZDIJaC4xamxhbzQ2MgloLjJpcThnenMyCGgueHZpcjdsMgloLjNodjY5dmUyCWguMXgwZ2szNzIJaC40aDA0MnIwMgloLjJ3NWVjeXQyCWguMWJhb242bTIJaC4zdmFjNXVmMgloLjJhZm1nMjgyCGgucGt3cWExMgloLjM5a2s4eHUyCWguMW9wdWo1bjIJaC40OHBpMXRnMgloLjJudXNjMTkyCWguMTMwMm05MjIJaC4zbXpxNHd2MgloLjIyNTBmNG8yCGguaGFhcGNoMgloLjMxOXk4MGEyCWguMWdmOGk4MzIJaC40MGV3MHZ3OAByITFEbi1fcVowWE14OFpoX1hQUDlIR1ZmemhvTkN1LXBm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2022-09-28T08:08:00Z</dcterms:created>
  <dc:creator>"Nicole Phillips" &lt;nicole.phillips@gpa.gov.uk&gt;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